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SDS Optic: Rynek, na którym działamy – rynek diagnostyki markerów nowotworowych – wart jest niemal 6 mld dolarów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Gośćmi wtorkowego webinaru inwestorskiego byli przedstawiciele spółki SDS Optic. Działalność firmy i jej plany rozwoju przedstawili Marcin Staniszewski, prezes zarządu, założyciel i akcjonariusz; Magdalena Staniszewska, dyrektor ds. badań i rozwoju, założyciel i akcjonariusz oraz Mateusz Sagan, dyrektor operacyjny i ds. rozwoju biznesu oraz akcjonariusz.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Lubelska spółka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SDS Optic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opracowała innowacyjną i unikalną w skali globalnej światłowodową mikrosondę inPROBE. Jest to biosensor o wysokim poziomie czułości i specyficzności, pozwalający na wykonanie biologicznego pomiaru stężenia konkretnego biomarkera lub dedykowanego związku w ciele pacjenta (badanie in vivo). Podstawowym polem aplikacji, na którego rozwoju i komercjalizacji obecnie spółka się skupia jest diagnostyka mogąca przyspieszyć proces leczenia celowanego HER2-dodatniego raka piersi. Rozwijana przez SDS Optic technologia jest alternatywną metodą diagnostyczną dla bardziej czasochłonnej i bardziej inwazyjnej, tradycyjnej biopsji. Wśród potencjalnych odbiorców technologii oraz produktów spółki obok podmiotów ochrony zdrowia znajdują się globalne firmy farmaceutyczne.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Jesteśmy po rundzie rozmów z „big pharmą”. Koncerny farmaceutyczne są żywo zainteresowane tą technologią na etapie tworzenia leków i terapii celowanych. Oczywiście oni nie diagnozują, natomiast dzisiejsze techniki w firmach farmaceutycznych nie pozwalają w szybki sposób stwierdzać, czy ich kandydat na lek – i w jakim stężeniu – dociera do guza. Nasza technologia pozwala firmom farmaceutycznym szybko i precyzyjnie stwierdzić czy ten kandydat na lek trafia skutecznie do guza. To właśnie powód, dla którego big pharma jest zainteresowana naszą technologią – mówi Marcin Staniszewski, prezes zarządu, założyciel i akcjonariusz.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już niebawem rozpocznie pierwszą fazę badań klinicznych.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Obecnie czekamy, aby „wejść” do pierwszego pacjenta. Taki jest plan na maj br.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styczniu i lutym odbyliśmy szkolenia w dwóch ośrodkach, które są zakontraktowane do pierwszej fazy badania klinicznego. Lekarze z tych ośrodków podpowiedzieli nam w trakcie szkolenia, że chcieliby usprawnić metodę diagnostyczną, wprowadzić automatyzację pewnych czynności. Dostosowaliśmy się i wprowadziliśmy modyfikacje, co musieliśmy też zakomunikować to do Komisji Bioetycznej. Obecnie czekamy na wejście do pierwszego pacjenta po wdrożeniu zmian zaproponowanych przez lekarzy – dodał Marcin Staniszewski.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SDS Optic finansuje badania głównie środkami z grantów i dotacji. W sumie spółka pozyskała już 40 mln zł z NCBiR, PARP czy bezpośrednio z Komisji Europejskiej. Jak zapewnia Mateusz Sagan, potrzeby finansowe na najbliższe kwartały są zabezpieczone, ale w dłuższej perspektywie spółka zamierza korzystać z emisji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Według naszych szacunków, do komercjalizacji sondy inPROBE w zakresie pierwszej aplikacji i wykrywania HER2+ w rakach piersi, potrzeba jeszcze 5-6 mln zł i to są głównie badania kliniczne oraz proces certyfikacji. Przy czym wszystkie potrzebne środki są już zabezpieczone. Te procesy są finansowane z grantu otrzymanego z Komisji Europejskiej, więc całość budżetu jest sfinansowana z dotacji. (…) </w:t>
      </w:r>
      <w:r>
        <w:rPr>
          <w:rFonts w:ascii="calibri" w:hAnsi="calibri" w:eastAsia="calibri" w:cs="calibri"/>
          <w:sz w:val="24"/>
          <w:szCs w:val="24"/>
          <w:b/>
        </w:rPr>
        <w:t xml:space="preserve">Spółka ma zabezpieczony kapitał na kolejnych kilkanaście miesięcy funkcjonowania, plus do tego będą dochodziły kolejne płatności z kolejnych transz dotacyjnych</w:t>
      </w:r>
      <w:r>
        <w:rPr>
          <w:rFonts w:ascii="calibri" w:hAnsi="calibri" w:eastAsia="calibri" w:cs="calibri"/>
          <w:sz w:val="24"/>
          <w:szCs w:val="24"/>
        </w:rPr>
        <w:t xml:space="preserve">. Spółka na wykonanie najważniejszych kamieni milowych finansowo jest zabezpieczona. Z dzisiejszej perspektywy ciężko jest określić, kiedy będziemy chcieli sięgnąć po kolejną emisję akcji. Szacujemy, że nastąpi to po osiągnięciu najważniejszych kroków milowych związanych z rozpoczęciem pierwszej fazy badań klinicznych i tworzenia części relacji korporacyjnych z partnerami – powiedział Mateusz Sagan, dyrektor operacyjny i ds. rozwoju biznesu oraz akcjonariusz.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planach SDS Optic jest także rozwój nowych pól aplikacyjnych technologii inPROBE w diagnostyce wielu innych nowotworów, schorzeń zwyrodnienia plamki żółtej oka, a także w diagnostyce szeregu chorób zakaźnych, wirusowych i grzybiczych. Podstawowym polem aplikacji, na którego rozwoju i komercjalizacji obecnie spółka się skupia jest diagnostyka markera HER2 w raku piersi, a także monitorowanie transportu leków celowanych.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Planujemy rozszerzenie naszej technologii na inne markery</w:t>
      </w:r>
      <w:r>
        <w:rPr>
          <w:rFonts w:ascii="calibri" w:hAnsi="calibri" w:eastAsia="calibri" w:cs="calibri"/>
          <w:sz w:val="24"/>
          <w:szCs w:val="24"/>
        </w:rPr>
        <w:t xml:space="preserve">. Jako pierwszy wybraliśmy marker HER2, żeby pokazać potencjał naszej technologii, ale również, ze względu na dostępną terapię celowaną na ten marker, co razem wpisuje się w nasza misje – powiedziała Magdalena Staniszewska, dyrektor ds. badań i rozwoju, założyciel i akcjonariusz.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SDS Optic zadebiutowała na rynku NewConnect 15 marca br. Kurs akcji podczas debiutu wzrósł o 15 proc. do 11,50 zł. Debiut poprzedziła przeprowadzona w I poł. 2021 r. prywatna emisja akcji, z której pozyskano 11 mln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ockwatch.pl/gpw/sdsoptic,notowania,wskaznik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2024-05-10T19:07:10+02:00</dcterms:created>
  <dcterms:modified xsi:type="dcterms:W3CDTF">2024-05-10T19:07:10+02:00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